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12BD" w:rsidRDefault="00CE12BD" w:rsidP="00802425">
      <w:pPr>
        <w:rPr>
          <w:b/>
          <w:lang w:eastAsia="zh-CN"/>
        </w:rPr>
      </w:pPr>
    </w:p>
    <w:p w:rsidR="00CE12BD" w:rsidRDefault="00CE12BD" w:rsidP="00802425">
      <w:pPr>
        <w:rPr>
          <w:b/>
          <w:lang w:eastAsia="zh-CN"/>
        </w:rPr>
      </w:pPr>
    </w:p>
    <w:p w:rsidR="00CE12BD" w:rsidRDefault="00CE12BD" w:rsidP="00802425">
      <w:pPr>
        <w:rPr>
          <w:b/>
          <w:lang w:eastAsia="zh-CN"/>
        </w:rPr>
      </w:pPr>
    </w:p>
    <w:p w:rsidR="00CE12BD" w:rsidRDefault="00CE12BD" w:rsidP="00802425">
      <w:pPr>
        <w:rPr>
          <w:b/>
          <w:lang w:eastAsia="zh-CN"/>
        </w:rPr>
      </w:pPr>
    </w:p>
    <w:p w:rsidR="00CE12BD" w:rsidRDefault="00CE12BD" w:rsidP="00802425">
      <w:pPr>
        <w:rPr>
          <w:b/>
          <w:lang w:eastAsia="zh-CN"/>
        </w:rPr>
      </w:pPr>
    </w:p>
    <w:p w:rsidR="00CE12BD" w:rsidRDefault="00CE12BD" w:rsidP="00802425">
      <w:pPr>
        <w:rPr>
          <w:b/>
          <w:lang w:eastAsia="zh-CN"/>
        </w:rPr>
      </w:pPr>
    </w:p>
    <w:p w:rsidR="00CE12BD" w:rsidRDefault="00CE12BD" w:rsidP="00802425">
      <w:pPr>
        <w:rPr>
          <w:b/>
          <w:lang w:eastAsia="zh-CN"/>
        </w:rPr>
      </w:pPr>
    </w:p>
    <w:p w:rsidR="00CE12BD" w:rsidRDefault="00CE12BD" w:rsidP="00802425">
      <w:pPr>
        <w:rPr>
          <w:b/>
          <w:lang w:eastAsia="zh-CN"/>
        </w:rPr>
      </w:pPr>
    </w:p>
    <w:p w:rsidR="00802425" w:rsidRDefault="00802425" w:rsidP="00802425">
      <w:pPr>
        <w:rPr>
          <w:b/>
          <w:lang w:eastAsia="zh-CN"/>
        </w:rPr>
      </w:pPr>
      <w:r w:rsidRPr="00905D6F">
        <w:rPr>
          <w:rFonts w:hint="eastAsia"/>
          <w:b/>
          <w:lang w:eastAsia="zh-CN"/>
        </w:rPr>
        <w:t>哈萨克斯塔银行正在寻找外国投资者</w:t>
      </w:r>
      <w:bookmarkStart w:id="0" w:name="_GoBack"/>
      <w:bookmarkEnd w:id="0"/>
    </w:p>
    <w:p w:rsidR="00802425" w:rsidRDefault="00802425" w:rsidP="00802425">
      <w:pPr>
        <w:rPr>
          <w:b/>
          <w:lang w:eastAsia="zh-CN"/>
        </w:rPr>
      </w:pPr>
    </w:p>
    <w:p w:rsidR="00802425" w:rsidRDefault="00802425" w:rsidP="00802425">
      <w:r w:rsidRPr="00905D6F">
        <w:t>该银行的</w:t>
      </w:r>
      <w:r w:rsidRPr="00905D6F">
        <w:rPr>
          <w:rFonts w:hint="eastAsia"/>
        </w:rPr>
        <w:t>财务指标</w:t>
      </w:r>
    </w:p>
    <w:p w:rsidR="00802425" w:rsidRDefault="00802425" w:rsidP="00802425"/>
    <w:tbl>
      <w:tblPr>
        <w:tblStyle w:val="TableGrid"/>
        <w:tblW w:w="15701" w:type="dxa"/>
        <w:tblInd w:w="-1445" w:type="dxa"/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802425" w:rsidTr="004B10E1">
        <w:trPr>
          <w:trHeight w:val="42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25" w:rsidRPr="00B921A1" w:rsidRDefault="00802425" w:rsidP="004B10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№№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25" w:rsidRPr="00B921A1" w:rsidRDefault="00802425" w:rsidP="004B10E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25" w:rsidRPr="00B921A1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BF1414">
              <w:rPr>
                <w:rFonts w:ascii="SimSun" w:eastAsia="SimSun" w:hAnsi="SimSun" w:cs="SimSun" w:hint="eastAsia"/>
                <w:b/>
                <w:sz w:val="18"/>
                <w:szCs w:val="18"/>
              </w:rPr>
              <w:t>资产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25" w:rsidRPr="00B921A1" w:rsidRDefault="00802425" w:rsidP="004B10E1">
            <w:pPr>
              <w:jc w:val="center"/>
              <w:rPr>
                <w:b/>
                <w:i/>
                <w:sz w:val="18"/>
                <w:szCs w:val="18"/>
              </w:rPr>
            </w:pPr>
            <w:r w:rsidRPr="00BF1414">
              <w:rPr>
                <w:rFonts w:ascii="SimSun" w:eastAsia="SimSun" w:hAnsi="SimSun" w:cs="SimSun" w:hint="eastAsia"/>
                <w:b/>
                <w:sz w:val="18"/>
                <w:szCs w:val="18"/>
              </w:rPr>
              <w:t>贷款组合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BD3073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E72E30">
              <w:rPr>
                <w:rFonts w:ascii="SimSun" w:eastAsia="SimSun" w:hAnsi="SimSun" w:cs="SimSun" w:hint="eastAsia"/>
                <w:b/>
                <w:sz w:val="18"/>
                <w:szCs w:val="18"/>
              </w:rPr>
              <w:t>存款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D570F7" w:rsidRDefault="00802425" w:rsidP="004B10E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0DE9">
              <w:rPr>
                <w:rFonts w:ascii="SimSun" w:eastAsia="SimSun" w:hAnsi="SimSun" w:cs="SimSun" w:hint="eastAsia"/>
                <w:b/>
                <w:sz w:val="18"/>
                <w:szCs w:val="18"/>
              </w:rPr>
              <w:t>股东权益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BD3073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D570F7">
              <w:rPr>
                <w:rFonts w:ascii="SimSun" w:eastAsia="SimSun" w:hAnsi="SimSun" w:cs="SimSun" w:hint="eastAsia"/>
                <w:b/>
                <w:sz w:val="18"/>
                <w:szCs w:val="18"/>
              </w:rPr>
              <w:t>财务绩效</w:t>
            </w:r>
          </w:p>
        </w:tc>
      </w:tr>
      <w:tr w:rsidR="00802425" w:rsidTr="004B10E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25" w:rsidRPr="00B921A1" w:rsidRDefault="00802425" w:rsidP="004B10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25" w:rsidRPr="00B921A1" w:rsidRDefault="00802425" w:rsidP="004B10E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25" w:rsidRDefault="00802425" w:rsidP="004B10E1">
            <w:pPr>
              <w:jc w:val="center"/>
              <w:rPr>
                <w:b/>
                <w:sz w:val="16"/>
                <w:szCs w:val="16"/>
              </w:rPr>
            </w:pPr>
          </w:p>
          <w:p w:rsidR="00802425" w:rsidRPr="00BC2397" w:rsidRDefault="00802425" w:rsidP="004B10E1">
            <w:pPr>
              <w:jc w:val="center"/>
              <w:rPr>
                <w:b/>
                <w:sz w:val="16"/>
                <w:szCs w:val="16"/>
              </w:rPr>
            </w:pPr>
            <w:r w:rsidRPr="00BC2397">
              <w:rPr>
                <w:b/>
                <w:sz w:val="16"/>
                <w:szCs w:val="16"/>
              </w:rPr>
              <w:t>2017</w:t>
            </w:r>
          </w:p>
          <w:p w:rsidR="00802425" w:rsidRPr="00BC2397" w:rsidRDefault="00802425" w:rsidP="004B1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25" w:rsidRDefault="00802425" w:rsidP="004B10E1">
            <w:pPr>
              <w:jc w:val="center"/>
              <w:rPr>
                <w:b/>
                <w:sz w:val="16"/>
                <w:szCs w:val="16"/>
              </w:rPr>
            </w:pPr>
          </w:p>
          <w:p w:rsidR="00802425" w:rsidRDefault="00802425" w:rsidP="004B1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</w:p>
          <w:p w:rsidR="00802425" w:rsidRPr="00BC2397" w:rsidRDefault="00802425" w:rsidP="004B1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25" w:rsidRDefault="00802425" w:rsidP="004B10E1">
            <w:pPr>
              <w:jc w:val="center"/>
              <w:rPr>
                <w:sz w:val="16"/>
                <w:szCs w:val="16"/>
              </w:rPr>
            </w:pPr>
          </w:p>
          <w:p w:rsidR="00802425" w:rsidRPr="00BC2397" w:rsidRDefault="00802425" w:rsidP="004B10E1">
            <w:pPr>
              <w:jc w:val="center"/>
              <w:rPr>
                <w:b/>
                <w:sz w:val="16"/>
                <w:szCs w:val="16"/>
              </w:rPr>
            </w:pPr>
            <w:r w:rsidRPr="00BC2397">
              <w:rPr>
                <w:b/>
                <w:sz w:val="16"/>
                <w:szCs w:val="16"/>
              </w:rPr>
              <w:t>2017</w:t>
            </w:r>
          </w:p>
          <w:p w:rsidR="00802425" w:rsidRPr="00BC2397" w:rsidRDefault="00802425" w:rsidP="004B1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BF1414" w:rsidRDefault="00802425" w:rsidP="004B10E1">
            <w:pPr>
              <w:jc w:val="center"/>
              <w:rPr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包括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25" w:rsidRDefault="00802425" w:rsidP="004B10E1">
            <w:pPr>
              <w:jc w:val="center"/>
              <w:rPr>
                <w:b/>
                <w:sz w:val="16"/>
                <w:szCs w:val="16"/>
              </w:rPr>
            </w:pPr>
          </w:p>
          <w:p w:rsidR="00802425" w:rsidRDefault="00802425" w:rsidP="004B1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</w:p>
          <w:p w:rsidR="00802425" w:rsidRDefault="00802425" w:rsidP="004B1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01.07</w:t>
            </w:r>
          </w:p>
          <w:p w:rsidR="00802425" w:rsidRPr="00BC2397" w:rsidRDefault="00802425" w:rsidP="004B1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包括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sz w:val="16"/>
                <w:szCs w:val="16"/>
              </w:rPr>
            </w:pPr>
            <w:r w:rsidRPr="00E72E30">
              <w:rPr>
                <w:rFonts w:ascii="SimSun" w:eastAsia="SimSun" w:hAnsi="SimSun" w:cs="SimSun" w:hint="eastAsia"/>
                <w:sz w:val="16"/>
                <w:szCs w:val="16"/>
              </w:rPr>
              <w:t>自然人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sz w:val="16"/>
                <w:szCs w:val="16"/>
              </w:rPr>
            </w:pPr>
            <w:r w:rsidRPr="00E72E30">
              <w:rPr>
                <w:rFonts w:ascii="SimSun" w:eastAsia="SimSun" w:hAnsi="SimSun" w:cs="SimSun" w:hint="eastAsia"/>
                <w:sz w:val="16"/>
                <w:szCs w:val="16"/>
              </w:rPr>
              <w:t>法人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25" w:rsidRDefault="00802425" w:rsidP="004B10E1">
            <w:pPr>
              <w:jc w:val="center"/>
              <w:rPr>
                <w:b/>
                <w:sz w:val="16"/>
                <w:szCs w:val="16"/>
              </w:rPr>
            </w:pPr>
          </w:p>
          <w:p w:rsidR="00802425" w:rsidRPr="007254AC" w:rsidRDefault="00802425" w:rsidP="004B1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7254AC">
              <w:rPr>
                <w:b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b/>
                <w:sz w:val="16"/>
                <w:szCs w:val="16"/>
              </w:rPr>
            </w:pPr>
          </w:p>
          <w:p w:rsidR="00802425" w:rsidRDefault="00802425" w:rsidP="004B1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</w:p>
          <w:p w:rsidR="00802425" w:rsidRDefault="00802425" w:rsidP="004B1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01.07</w:t>
            </w:r>
          </w:p>
          <w:p w:rsidR="00802425" w:rsidRPr="007254AC" w:rsidRDefault="00802425" w:rsidP="004B1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sz w:val="16"/>
                <w:szCs w:val="16"/>
              </w:rPr>
            </w:pPr>
            <w:r w:rsidRPr="00D570F7">
              <w:rPr>
                <w:rFonts w:ascii="SimSun" w:eastAsia="SimSun" w:hAnsi="SimSun" w:cs="SimSun" w:hint="eastAsia"/>
                <w:sz w:val="16"/>
                <w:szCs w:val="16"/>
              </w:rPr>
              <w:t>利润</w:t>
            </w:r>
            <w:r w:rsidRPr="007254AC">
              <w:rPr>
                <w:sz w:val="16"/>
                <w:szCs w:val="16"/>
              </w:rPr>
              <w:t>(+)</w:t>
            </w:r>
          </w:p>
          <w:p w:rsidR="00802425" w:rsidRPr="007254AC" w:rsidRDefault="00802425" w:rsidP="004B10E1">
            <w:pPr>
              <w:jc w:val="center"/>
              <w:rPr>
                <w:sz w:val="16"/>
                <w:szCs w:val="16"/>
              </w:rPr>
            </w:pPr>
            <w:r w:rsidRPr="00D570F7">
              <w:rPr>
                <w:rFonts w:ascii="SimSun" w:eastAsia="SimSun" w:hAnsi="SimSun" w:cs="SimSun" w:hint="eastAsia"/>
                <w:sz w:val="16"/>
                <w:szCs w:val="16"/>
              </w:rPr>
              <w:t>损失</w:t>
            </w:r>
            <w:r w:rsidRPr="007254AC">
              <w:rPr>
                <w:sz w:val="16"/>
                <w:szCs w:val="16"/>
              </w:rPr>
              <w:t>(-)</w:t>
            </w:r>
          </w:p>
        </w:tc>
      </w:tr>
      <w:tr w:rsidR="00802425" w:rsidTr="004B10E1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25" w:rsidRPr="00B921A1" w:rsidRDefault="00802425" w:rsidP="004B10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25" w:rsidRPr="00B921A1" w:rsidRDefault="00802425" w:rsidP="004B10E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sz w:val="16"/>
                <w:szCs w:val="16"/>
              </w:rPr>
            </w:pPr>
            <w:r w:rsidRPr="00BF1414">
              <w:rPr>
                <w:rFonts w:ascii="SimSun" w:eastAsia="SimSun" w:hAnsi="SimSun" w:cs="SimSun" w:hint="eastAsia"/>
                <w:sz w:val="16"/>
                <w:szCs w:val="16"/>
              </w:rPr>
              <w:t>逾期贷款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sz w:val="16"/>
                <w:szCs w:val="16"/>
              </w:rPr>
            </w:pPr>
            <w:r w:rsidRPr="00BF1414">
              <w:rPr>
                <w:rFonts w:ascii="SimSun" w:eastAsia="SimSun" w:hAnsi="SimSun" w:cs="SimSun" w:hint="eastAsia"/>
                <w:sz w:val="16"/>
                <w:szCs w:val="16"/>
              </w:rPr>
              <w:t>逾期贷款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25" w:rsidRDefault="00802425" w:rsidP="004B10E1">
            <w:pPr>
              <w:jc w:val="center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贷款的</w:t>
            </w:r>
            <w:r w:rsidRPr="003550A9">
              <w:rPr>
                <w:rFonts w:asciiTheme="minorEastAsia" w:hAnsiTheme="minorEastAsia" w:cs="Microsoft YaHei"/>
                <w:color w:val="000000"/>
                <w:sz w:val="16"/>
                <w:szCs w:val="16"/>
                <w:shd w:val="clear" w:color="auto" w:fill="FFFFFF"/>
              </w:rPr>
              <w:t>比</w:t>
            </w:r>
            <w:r w:rsidRPr="003550A9">
              <w:rPr>
                <w:rFonts w:asciiTheme="minorEastAsia" w:hAnsiTheme="minorEastAsia" w:cs="Arial"/>
                <w:color w:val="000000"/>
                <w:sz w:val="16"/>
                <w:szCs w:val="16"/>
                <w:shd w:val="clear" w:color="auto" w:fill="FFFFFF"/>
              </w:rPr>
              <w:t>率</w:t>
            </w:r>
          </w:p>
          <w:p w:rsidR="00802425" w:rsidRPr="007254AC" w:rsidRDefault="00802425" w:rsidP="004B10E1">
            <w:pPr>
              <w:jc w:val="center"/>
              <w:rPr>
                <w:i/>
                <w:sz w:val="16"/>
                <w:szCs w:val="16"/>
              </w:rPr>
            </w:pPr>
            <w:r w:rsidRPr="007254AC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sz w:val="16"/>
                <w:szCs w:val="16"/>
              </w:rPr>
            </w:pPr>
          </w:p>
        </w:tc>
      </w:tr>
      <w:tr w:rsidR="00802425" w:rsidTr="004B10E1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B921A1" w:rsidRDefault="00802425" w:rsidP="004B10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B921A1" w:rsidRDefault="00802425" w:rsidP="004B10E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b/>
                <w:sz w:val="16"/>
                <w:szCs w:val="16"/>
              </w:rPr>
            </w:pPr>
            <w:r w:rsidRPr="007254AC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Default="00802425" w:rsidP="004B10E1">
            <w:pPr>
              <w:jc w:val="center"/>
              <w:rPr>
                <w:b/>
                <w:sz w:val="16"/>
                <w:szCs w:val="16"/>
              </w:rPr>
            </w:pPr>
            <w:r w:rsidRPr="00BC2397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8</w:t>
            </w:r>
          </w:p>
          <w:p w:rsidR="00802425" w:rsidRPr="00BC2397" w:rsidRDefault="00802425" w:rsidP="004B1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01.07</w:t>
            </w:r>
          </w:p>
          <w:p w:rsidR="00802425" w:rsidRPr="00BC2397" w:rsidRDefault="00802425" w:rsidP="004B1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BC2397" w:rsidRDefault="00802425" w:rsidP="004B10E1">
            <w:pPr>
              <w:jc w:val="center"/>
              <w:rPr>
                <w:b/>
                <w:sz w:val="16"/>
                <w:szCs w:val="16"/>
              </w:rPr>
            </w:pPr>
            <w:r w:rsidRPr="00BC2397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</w:p>
          <w:p w:rsidR="00802425" w:rsidRPr="00BC2397" w:rsidRDefault="00802425" w:rsidP="004B1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Default="00802425" w:rsidP="004B10E1">
            <w:pPr>
              <w:jc w:val="center"/>
              <w:rPr>
                <w:b/>
                <w:sz w:val="16"/>
                <w:szCs w:val="16"/>
              </w:rPr>
            </w:pPr>
            <w:r w:rsidRPr="00BC2397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8</w:t>
            </w:r>
          </w:p>
          <w:p w:rsidR="00802425" w:rsidRPr="00BC2397" w:rsidRDefault="00802425" w:rsidP="004B1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01.07</w:t>
            </w:r>
          </w:p>
          <w:p w:rsidR="00802425" w:rsidRPr="00BC2397" w:rsidRDefault="00802425" w:rsidP="004B1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7254AC" w:rsidRDefault="00802425" w:rsidP="004B10E1">
            <w:pPr>
              <w:jc w:val="center"/>
              <w:rPr>
                <w:b/>
                <w:sz w:val="16"/>
                <w:szCs w:val="16"/>
              </w:rPr>
            </w:pPr>
            <w:r w:rsidRPr="007254AC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Default="00802425" w:rsidP="004B10E1">
            <w:pPr>
              <w:jc w:val="center"/>
              <w:rPr>
                <w:b/>
                <w:sz w:val="16"/>
                <w:szCs w:val="16"/>
              </w:rPr>
            </w:pPr>
            <w:r w:rsidRPr="00BC2397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8</w:t>
            </w:r>
          </w:p>
          <w:p w:rsidR="00802425" w:rsidRPr="00BC2397" w:rsidRDefault="00802425" w:rsidP="004B10E1">
            <w:pPr>
              <w:jc w:val="center"/>
              <w:rPr>
                <w:b/>
                <w:sz w:val="16"/>
                <w:szCs w:val="16"/>
              </w:rPr>
            </w:pPr>
          </w:p>
          <w:p w:rsidR="00802425" w:rsidRPr="00BC2397" w:rsidRDefault="00802425" w:rsidP="004B10E1">
            <w:pPr>
              <w:jc w:val="center"/>
              <w:rPr>
                <w:sz w:val="16"/>
                <w:szCs w:val="16"/>
              </w:rPr>
            </w:pPr>
          </w:p>
        </w:tc>
      </w:tr>
      <w:tr w:rsidR="00802425" w:rsidTr="004B10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B921A1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2C7494" w:rsidRDefault="00802425" w:rsidP="004B10E1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哈萨克斯坦银行</w:t>
            </w:r>
          </w:p>
          <w:p w:rsidR="00802425" w:rsidRPr="002C7494" w:rsidRDefault="00802425" w:rsidP="004B10E1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（百万美金）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2C7494">
              <w:rPr>
                <w:b/>
                <w:sz w:val="18"/>
                <w:szCs w:val="18"/>
              </w:rPr>
              <w:t>122,8</w:t>
            </w:r>
          </w:p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2C7494">
              <w:rPr>
                <w:b/>
                <w:sz w:val="18"/>
                <w:szCs w:val="18"/>
              </w:rPr>
              <w:t>37</w:t>
            </w:r>
            <w:r>
              <w:rPr>
                <w:b/>
                <w:sz w:val="18"/>
                <w:szCs w:val="18"/>
              </w:rPr>
              <w:t>,</w:t>
            </w:r>
            <w:r w:rsidRPr="002C749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2C7494">
              <w:rPr>
                <w:b/>
                <w:sz w:val="18"/>
                <w:szCs w:val="18"/>
              </w:rPr>
              <w:t>132,4</w:t>
            </w:r>
          </w:p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2C7494">
              <w:rPr>
                <w:b/>
                <w:sz w:val="18"/>
                <w:szCs w:val="18"/>
              </w:rPr>
              <w:t>85,7</w:t>
            </w:r>
          </w:p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2C7494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>,</w:t>
            </w:r>
            <w:r w:rsidRPr="002C749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2C7494">
              <w:rPr>
                <w:b/>
                <w:sz w:val="18"/>
                <w:szCs w:val="18"/>
              </w:rPr>
              <w:t>1,3</w:t>
            </w:r>
          </w:p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2C7494">
              <w:rPr>
                <w:b/>
                <w:sz w:val="18"/>
                <w:szCs w:val="18"/>
              </w:rPr>
              <w:t>96,3</w:t>
            </w:r>
          </w:p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2C7494">
              <w:rPr>
                <w:b/>
                <w:sz w:val="18"/>
                <w:szCs w:val="18"/>
              </w:rPr>
              <w:t>1,8</w:t>
            </w:r>
          </w:p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2C7494">
              <w:rPr>
                <w:b/>
                <w:sz w:val="18"/>
                <w:szCs w:val="18"/>
              </w:rPr>
              <w:t>1,9</w:t>
            </w:r>
          </w:p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2C7494"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2C7494">
              <w:rPr>
                <w:b/>
                <w:sz w:val="18"/>
                <w:szCs w:val="18"/>
              </w:rPr>
              <w:t>13,8</w:t>
            </w:r>
          </w:p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2C7494">
              <w:rPr>
                <w:b/>
                <w:sz w:val="18"/>
                <w:szCs w:val="18"/>
              </w:rPr>
              <w:t>42</w:t>
            </w:r>
            <w:r>
              <w:rPr>
                <w:b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2C7494">
              <w:rPr>
                <w:b/>
                <w:sz w:val="18"/>
                <w:szCs w:val="18"/>
              </w:rPr>
              <w:t>22,0</w:t>
            </w:r>
          </w:p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2C7494">
              <w:rPr>
                <w:b/>
                <w:sz w:val="18"/>
                <w:szCs w:val="18"/>
              </w:rPr>
              <w:t>56,6</w:t>
            </w:r>
          </w:p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2C7494">
              <w:rPr>
                <w:b/>
                <w:sz w:val="18"/>
                <w:szCs w:val="18"/>
              </w:rPr>
              <w:t>17</w:t>
            </w:r>
            <w:r>
              <w:rPr>
                <w:b/>
                <w:sz w:val="18"/>
                <w:szCs w:val="1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2C7494">
              <w:rPr>
                <w:b/>
                <w:sz w:val="18"/>
                <w:szCs w:val="18"/>
              </w:rPr>
              <w:t>50,0</w:t>
            </w:r>
          </w:p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2C7494">
              <w:rPr>
                <w:b/>
                <w:sz w:val="18"/>
                <w:szCs w:val="18"/>
              </w:rPr>
              <w:t>23,4</w:t>
            </w:r>
          </w:p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  <w:r w:rsidRPr="002C749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2C7494">
              <w:rPr>
                <w:b/>
                <w:sz w:val="18"/>
                <w:szCs w:val="18"/>
              </w:rPr>
              <w:t>22,7</w:t>
            </w:r>
          </w:p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2C7494">
              <w:rPr>
                <w:b/>
                <w:sz w:val="18"/>
                <w:szCs w:val="18"/>
              </w:rPr>
              <w:t>1,087</w:t>
            </w:r>
          </w:p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</w:t>
            </w:r>
            <w:r w:rsidRPr="002C749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5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 w:rsidRPr="002C7494">
              <w:rPr>
                <w:b/>
                <w:sz w:val="18"/>
                <w:szCs w:val="18"/>
              </w:rPr>
              <w:t>1,276</w:t>
            </w:r>
          </w:p>
          <w:p w:rsidR="00802425" w:rsidRPr="002C7494" w:rsidRDefault="00802425" w:rsidP="004B10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</w:t>
            </w:r>
          </w:p>
        </w:tc>
      </w:tr>
    </w:tbl>
    <w:p w:rsidR="00802425" w:rsidRDefault="00802425" w:rsidP="00802425"/>
    <w:p w:rsidR="00802425" w:rsidRDefault="00802425" w:rsidP="00802425"/>
    <w:p w:rsidR="00802425" w:rsidRDefault="00802425" w:rsidP="00802425">
      <w:pPr>
        <w:rPr>
          <w:lang w:eastAsia="zh-CN"/>
        </w:rPr>
      </w:pPr>
      <w:r>
        <w:rPr>
          <w:lang w:eastAsia="zh-CN"/>
        </w:rPr>
        <w:t>以上是</w:t>
      </w:r>
      <w:r>
        <w:rPr>
          <w:rFonts w:hint="eastAsia"/>
          <w:lang w:eastAsia="zh-CN"/>
        </w:rPr>
        <w:t>哈萨克斯坦银行</w:t>
      </w:r>
      <w:r>
        <w:rPr>
          <w:lang w:eastAsia="zh-CN"/>
        </w:rPr>
        <w:t>的</w:t>
      </w:r>
      <w:r w:rsidRPr="00905D6F">
        <w:rPr>
          <w:rFonts w:hint="eastAsia"/>
          <w:lang w:eastAsia="zh-CN"/>
        </w:rPr>
        <w:t>财务指标</w:t>
      </w:r>
      <w:r>
        <w:rPr>
          <w:rFonts w:hint="eastAsia"/>
          <w:lang w:eastAsia="zh-CN"/>
        </w:rPr>
        <w:t>。该银行的所有人以提高</w:t>
      </w:r>
      <w:r w:rsidRPr="007B4E93">
        <w:rPr>
          <w:rFonts w:hint="eastAsia"/>
          <w:lang w:eastAsia="zh-CN"/>
        </w:rPr>
        <w:t>市场价格总值</w:t>
      </w:r>
      <w:r>
        <w:rPr>
          <w:rFonts w:hint="eastAsia"/>
          <w:lang w:eastAsia="zh-CN"/>
        </w:rPr>
        <w:t>与在信贷</w:t>
      </w:r>
      <w:r w:rsidRPr="007B4E93">
        <w:rPr>
          <w:rFonts w:hint="eastAsia"/>
          <w:lang w:eastAsia="zh-CN"/>
        </w:rPr>
        <w:t>市场</w:t>
      </w:r>
      <w:r>
        <w:rPr>
          <w:rFonts w:hint="eastAsia"/>
          <w:lang w:eastAsia="zh-CN"/>
        </w:rPr>
        <w:t>的</w:t>
      </w:r>
      <w:r w:rsidRPr="007B4E93">
        <w:rPr>
          <w:rFonts w:hint="eastAsia"/>
          <w:lang w:eastAsia="zh-CN"/>
        </w:rPr>
        <w:t>评级</w:t>
      </w:r>
      <w:r>
        <w:rPr>
          <w:rFonts w:hint="eastAsia"/>
          <w:lang w:eastAsia="zh-CN"/>
        </w:rPr>
        <w:t>为目标，提议向外国投资者</w:t>
      </w:r>
      <w:r w:rsidRPr="00024414">
        <w:rPr>
          <w:rFonts w:hint="eastAsia"/>
          <w:lang w:eastAsia="zh-CN"/>
        </w:rPr>
        <w:t>出售该银行的一定份额</w:t>
      </w:r>
      <w:r>
        <w:rPr>
          <w:rFonts w:hint="eastAsia"/>
          <w:lang w:eastAsia="zh-CN"/>
        </w:rPr>
        <w:t>。</w:t>
      </w:r>
      <w:r w:rsidRPr="00A722D6">
        <w:rPr>
          <w:rFonts w:hint="eastAsia"/>
          <w:lang w:eastAsia="zh-CN"/>
        </w:rPr>
        <w:t>该银行</w:t>
      </w:r>
      <w:r>
        <w:rPr>
          <w:rFonts w:hint="eastAsia"/>
          <w:lang w:eastAsia="zh-CN"/>
        </w:rPr>
        <w:t>拥有从事各种类型</w:t>
      </w:r>
      <w:r w:rsidRPr="00A722D6">
        <w:rPr>
          <w:rFonts w:hint="eastAsia"/>
          <w:lang w:eastAsia="zh-CN"/>
        </w:rPr>
        <w:t>银行业务</w:t>
      </w:r>
      <w:r>
        <w:rPr>
          <w:rFonts w:hint="eastAsia"/>
          <w:lang w:eastAsia="zh-CN"/>
        </w:rPr>
        <w:t>的许可证，包括向任何国家汇款，</w:t>
      </w:r>
      <w:r w:rsidRPr="00A63A02">
        <w:rPr>
          <w:rFonts w:hint="eastAsia"/>
          <w:lang w:eastAsia="zh-CN"/>
        </w:rPr>
        <w:t>从任何国家以任何外币收款</w:t>
      </w:r>
      <w:r>
        <w:rPr>
          <w:rFonts w:hint="eastAsia"/>
          <w:lang w:eastAsia="zh-CN"/>
        </w:rPr>
        <w:t>，</w:t>
      </w:r>
      <w:r w:rsidRPr="007A5B45">
        <w:rPr>
          <w:rFonts w:hint="eastAsia"/>
          <w:lang w:eastAsia="zh-CN"/>
        </w:rPr>
        <w:t>接收</w:t>
      </w:r>
      <w:r>
        <w:rPr>
          <w:rFonts w:hint="eastAsia"/>
          <w:lang w:eastAsia="zh-CN"/>
        </w:rPr>
        <w:t>自然人和法人</w:t>
      </w:r>
      <w:r w:rsidRPr="007A5B45">
        <w:rPr>
          <w:rFonts w:hint="eastAsia"/>
          <w:lang w:eastAsia="zh-CN"/>
        </w:rPr>
        <w:t>的存款</w:t>
      </w:r>
      <w:r>
        <w:rPr>
          <w:rFonts w:hint="eastAsia"/>
          <w:lang w:eastAsia="zh-CN"/>
        </w:rPr>
        <w:t>，向个人和法人</w:t>
      </w:r>
      <w:r w:rsidRPr="009C72FC">
        <w:rPr>
          <w:rFonts w:hint="eastAsia"/>
          <w:lang w:eastAsia="zh-CN"/>
        </w:rPr>
        <w:t>提供贷款</w:t>
      </w:r>
      <w:r>
        <w:rPr>
          <w:rFonts w:hint="eastAsia"/>
          <w:lang w:eastAsia="zh-CN"/>
        </w:rPr>
        <w:t>与</w:t>
      </w:r>
      <w:r w:rsidRPr="00DC7E97">
        <w:rPr>
          <w:rFonts w:hint="eastAsia"/>
          <w:lang w:eastAsia="zh-CN"/>
        </w:rPr>
        <w:t>项目融资</w:t>
      </w:r>
      <w:r>
        <w:rPr>
          <w:rFonts w:hint="eastAsia"/>
          <w:lang w:eastAsia="zh-CN"/>
        </w:rPr>
        <w:t>。在欧盟国家与俄罗斯有</w:t>
      </w:r>
      <w:r w:rsidRPr="00FC02CB">
        <w:rPr>
          <w:rFonts w:hint="eastAsia"/>
          <w:lang w:eastAsia="zh-CN"/>
        </w:rPr>
        <w:t>代理行</w:t>
      </w:r>
      <w:r>
        <w:rPr>
          <w:rFonts w:hint="eastAsia"/>
          <w:lang w:eastAsia="zh-CN"/>
        </w:rPr>
        <w:t>。</w:t>
      </w:r>
    </w:p>
    <w:p w:rsidR="00802425" w:rsidRDefault="00802425" w:rsidP="00802425">
      <w:pPr>
        <w:rPr>
          <w:lang w:eastAsia="zh-CN"/>
        </w:rPr>
      </w:pPr>
    </w:p>
    <w:p w:rsidR="00802425" w:rsidRDefault="00802425" w:rsidP="00802425">
      <w:pPr>
        <w:rPr>
          <w:lang w:eastAsia="zh-CN"/>
        </w:rPr>
      </w:pPr>
      <w:r>
        <w:rPr>
          <w:rFonts w:hint="eastAsia"/>
          <w:lang w:val="ru-RU" w:eastAsia="zh-CN"/>
        </w:rPr>
        <w:t>我们提供</w:t>
      </w:r>
      <w:r>
        <w:rPr>
          <w:rFonts w:hint="eastAsia"/>
          <w:lang w:eastAsia="zh-CN"/>
        </w:rPr>
        <w:t>两种投资选择：</w:t>
      </w:r>
    </w:p>
    <w:p w:rsidR="00802425" w:rsidRDefault="00802425" w:rsidP="00802425">
      <w:pPr>
        <w:rPr>
          <w:lang w:eastAsia="zh-CN"/>
        </w:rPr>
      </w:pPr>
    </w:p>
    <w:p w:rsidR="00802425" w:rsidRDefault="00802425" w:rsidP="00802425">
      <w:pPr>
        <w:rPr>
          <w:lang w:eastAsia="zh-CN"/>
        </w:rPr>
      </w:pPr>
      <w:r w:rsidRPr="001247F9">
        <w:rPr>
          <w:b/>
          <w:lang w:eastAsia="zh-CN"/>
        </w:rPr>
        <w:t>选择</w:t>
      </w:r>
      <w:r w:rsidRPr="001247F9">
        <w:rPr>
          <w:b/>
          <w:lang w:eastAsia="zh-CN"/>
        </w:rPr>
        <w:t>1</w:t>
      </w:r>
      <w:r>
        <w:rPr>
          <w:lang w:eastAsia="zh-CN"/>
        </w:rPr>
        <w:t>：向投资者出售</w:t>
      </w:r>
      <w:r>
        <w:rPr>
          <w:lang w:eastAsia="zh-CN"/>
        </w:rPr>
        <w:t>51%</w:t>
      </w:r>
      <w:r>
        <w:rPr>
          <w:rFonts w:hint="eastAsia"/>
          <w:lang w:eastAsia="zh-CN"/>
        </w:rPr>
        <w:t>的股份。总额</w:t>
      </w:r>
      <w:r>
        <w:rPr>
          <w:rFonts w:hint="eastAsia"/>
          <w:lang w:eastAsia="zh-CN"/>
        </w:rPr>
        <w:t>3500</w:t>
      </w:r>
      <w:r>
        <w:rPr>
          <w:lang w:eastAsia="zh-CN"/>
        </w:rPr>
        <w:t xml:space="preserve"> – 4000 </w:t>
      </w:r>
      <w:r>
        <w:rPr>
          <w:lang w:eastAsia="zh-CN"/>
        </w:rPr>
        <w:t>万美元。</w:t>
      </w:r>
      <w:r w:rsidRPr="009463A6">
        <w:rPr>
          <w:rFonts w:hint="eastAsia"/>
          <w:lang w:eastAsia="zh-CN"/>
        </w:rPr>
        <w:t>外国投资者</w:t>
      </w:r>
      <w:r>
        <w:rPr>
          <w:rFonts w:hint="eastAsia"/>
          <w:lang w:eastAsia="zh-CN"/>
        </w:rPr>
        <w:t>将</w:t>
      </w:r>
      <w:r w:rsidRPr="009463A6">
        <w:rPr>
          <w:rFonts w:hint="eastAsia"/>
          <w:lang w:eastAsia="zh-CN"/>
        </w:rPr>
        <w:t>成为银行的第一大股东，并获得改变银行政策和</w:t>
      </w:r>
      <w:r>
        <w:rPr>
          <w:rFonts w:hint="eastAsia"/>
          <w:lang w:eastAsia="zh-CN"/>
        </w:rPr>
        <w:t>更换</w:t>
      </w:r>
      <w:r w:rsidRPr="009463A6">
        <w:rPr>
          <w:rFonts w:hint="eastAsia"/>
          <w:lang w:eastAsia="zh-CN"/>
        </w:rPr>
        <w:t>银行管理的权利</w:t>
      </w:r>
      <w:r>
        <w:rPr>
          <w:rFonts w:hint="eastAsia"/>
          <w:lang w:eastAsia="zh-CN"/>
        </w:rPr>
        <w:t>。</w:t>
      </w:r>
    </w:p>
    <w:p w:rsidR="00802425" w:rsidRDefault="00802425" w:rsidP="00802425">
      <w:pPr>
        <w:rPr>
          <w:lang w:eastAsia="zh-CN"/>
        </w:rPr>
      </w:pPr>
      <w:r w:rsidRPr="001247F9">
        <w:rPr>
          <w:b/>
          <w:lang w:eastAsia="zh-CN"/>
        </w:rPr>
        <w:t>选择</w:t>
      </w:r>
      <w:r>
        <w:rPr>
          <w:b/>
          <w:lang w:eastAsia="zh-CN"/>
        </w:rPr>
        <w:t>2</w:t>
      </w:r>
      <w:r>
        <w:rPr>
          <w:lang w:eastAsia="zh-CN"/>
        </w:rPr>
        <w:t>：向投资者出售</w:t>
      </w:r>
      <w:r>
        <w:rPr>
          <w:lang w:eastAsia="zh-CN"/>
        </w:rPr>
        <w:t>75%</w:t>
      </w:r>
      <w:r>
        <w:rPr>
          <w:lang w:eastAsia="zh-CN"/>
        </w:rPr>
        <w:t>以上</w:t>
      </w:r>
      <w:r>
        <w:rPr>
          <w:rFonts w:hint="eastAsia"/>
          <w:lang w:eastAsia="zh-CN"/>
        </w:rPr>
        <w:t>（最多</w:t>
      </w:r>
      <w:r>
        <w:rPr>
          <w:rFonts w:hint="eastAsia"/>
          <w:lang w:eastAsia="zh-CN"/>
        </w:rPr>
        <w:t>95%</w:t>
      </w:r>
      <w:r>
        <w:rPr>
          <w:rFonts w:hint="eastAsia"/>
          <w:lang w:eastAsia="zh-CN"/>
        </w:rPr>
        <w:t>）的股份。总额</w:t>
      </w:r>
      <w:r>
        <w:rPr>
          <w:rFonts w:hint="eastAsia"/>
          <w:lang w:eastAsia="zh-CN"/>
        </w:rPr>
        <w:t>5200</w:t>
      </w:r>
      <w:r>
        <w:rPr>
          <w:lang w:eastAsia="zh-CN"/>
        </w:rPr>
        <w:t xml:space="preserve">– 6700 </w:t>
      </w:r>
      <w:r>
        <w:rPr>
          <w:lang w:eastAsia="zh-CN"/>
        </w:rPr>
        <w:t>万美元。</w:t>
      </w:r>
      <w:r w:rsidRPr="00D8767B">
        <w:rPr>
          <w:rFonts w:hint="eastAsia"/>
          <w:lang w:eastAsia="zh-CN"/>
        </w:rPr>
        <w:t>外国投资者</w:t>
      </w:r>
      <w:r>
        <w:rPr>
          <w:rFonts w:hint="eastAsia"/>
          <w:lang w:eastAsia="zh-CN"/>
        </w:rPr>
        <w:t>将</w:t>
      </w:r>
      <w:r w:rsidRPr="00D8767B">
        <w:rPr>
          <w:rFonts w:hint="eastAsia"/>
          <w:lang w:eastAsia="zh-CN"/>
        </w:rPr>
        <w:t>获得管理和控制银行活动的全部权利</w:t>
      </w:r>
    </w:p>
    <w:p w:rsidR="00802425" w:rsidRDefault="00802425" w:rsidP="00802425">
      <w:pPr>
        <w:rPr>
          <w:lang w:eastAsia="zh-CN"/>
        </w:rPr>
      </w:pPr>
    </w:p>
    <w:p w:rsidR="00802425" w:rsidRPr="00D8767B" w:rsidRDefault="00802425" w:rsidP="00802425">
      <w:pPr>
        <w:rPr>
          <w:lang w:eastAsia="zh-CN"/>
        </w:rPr>
      </w:pPr>
      <w:r w:rsidRPr="005F09E6">
        <w:rPr>
          <w:rFonts w:hint="eastAsia"/>
          <w:lang w:eastAsia="zh-CN"/>
        </w:rPr>
        <w:lastRenderedPageBreak/>
        <w:t>收购</w:t>
      </w:r>
      <w:r>
        <w:rPr>
          <w:rFonts w:hint="eastAsia"/>
          <w:lang w:eastAsia="zh-CN"/>
        </w:rPr>
        <w:t>该</w:t>
      </w:r>
      <w:r w:rsidRPr="005F09E6">
        <w:rPr>
          <w:rFonts w:hint="eastAsia"/>
          <w:lang w:eastAsia="zh-CN"/>
        </w:rPr>
        <w:t>银行的股份将使外国投资者获得</w:t>
      </w:r>
      <w:r>
        <w:rPr>
          <w:rFonts w:hint="eastAsia"/>
          <w:lang w:eastAsia="zh-CN"/>
        </w:rPr>
        <w:t>许多哈萨克斯坦项目投资</w:t>
      </w:r>
      <w:r w:rsidRPr="005F09E6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安全保障。</w:t>
      </w:r>
    </w:p>
    <w:p w:rsidR="00802425" w:rsidRDefault="00802425" w:rsidP="00802425">
      <w:pPr>
        <w:rPr>
          <w:lang w:val="ru-RU" w:eastAsia="zh-CN"/>
        </w:rPr>
      </w:pPr>
    </w:p>
    <w:p w:rsidR="00CE12BD" w:rsidRDefault="00CE12BD" w:rsidP="00802425">
      <w:pPr>
        <w:rPr>
          <w:lang w:val="ru-RU" w:eastAsia="zh-CN"/>
        </w:rPr>
      </w:pPr>
    </w:p>
    <w:p w:rsidR="00CE12BD" w:rsidRDefault="00CE12BD" w:rsidP="00802425">
      <w:pPr>
        <w:rPr>
          <w:lang w:val="ru-RU" w:eastAsia="zh-CN"/>
        </w:rPr>
      </w:pPr>
    </w:p>
    <w:p w:rsidR="00CE12BD" w:rsidRDefault="00CE12BD" w:rsidP="00802425">
      <w:pPr>
        <w:rPr>
          <w:lang w:val="ru-RU" w:eastAsia="zh-CN"/>
        </w:rPr>
      </w:pPr>
    </w:p>
    <w:p w:rsidR="00CE12BD" w:rsidRDefault="00CE12BD" w:rsidP="00802425">
      <w:pPr>
        <w:rPr>
          <w:lang w:val="ru-RU" w:eastAsia="zh-CN"/>
        </w:rPr>
      </w:pPr>
    </w:p>
    <w:p w:rsidR="00CE12BD" w:rsidRDefault="00CE12BD" w:rsidP="00802425">
      <w:pPr>
        <w:rPr>
          <w:lang w:val="ru-RU" w:eastAsia="zh-CN"/>
        </w:rPr>
      </w:pPr>
    </w:p>
    <w:p w:rsidR="00CE12BD" w:rsidRDefault="00CE12BD" w:rsidP="00802425">
      <w:pPr>
        <w:rPr>
          <w:lang w:val="ru-RU" w:eastAsia="zh-CN"/>
        </w:rPr>
      </w:pPr>
    </w:p>
    <w:p w:rsidR="00CE12BD" w:rsidRDefault="00CE12BD" w:rsidP="00802425">
      <w:pPr>
        <w:rPr>
          <w:lang w:val="ru-RU" w:eastAsia="zh-CN"/>
        </w:rPr>
      </w:pPr>
    </w:p>
    <w:p w:rsidR="00CE12BD" w:rsidRDefault="00CE12BD" w:rsidP="00802425">
      <w:pPr>
        <w:rPr>
          <w:lang w:val="ru-RU" w:eastAsia="zh-CN"/>
        </w:rPr>
      </w:pPr>
    </w:p>
    <w:p w:rsidR="00802425" w:rsidRDefault="00802425" w:rsidP="00802425">
      <w:pPr>
        <w:rPr>
          <w:rFonts w:ascii="Arial" w:hAnsi="Arial" w:cs="Arial"/>
          <w:bCs/>
          <w:color w:val="222222"/>
          <w:szCs w:val="21"/>
          <w:shd w:val="clear" w:color="auto" w:fill="FFFFFF"/>
          <w:lang w:eastAsia="zh-CN"/>
        </w:rPr>
      </w:pPr>
      <w:r w:rsidRPr="00254F1F">
        <w:rPr>
          <w:rFonts w:hint="eastAsia"/>
          <w:lang w:val="ru-RU" w:eastAsia="zh-CN"/>
        </w:rPr>
        <w:t>因为该银行显示了资产和贷款组合增长的良好动态</w:t>
      </w:r>
      <w:r>
        <w:rPr>
          <w:rFonts w:hint="eastAsia"/>
          <w:lang w:eastAsia="zh-CN"/>
        </w:rPr>
        <w:t>，哈萨克人民商会为</w:t>
      </w:r>
      <w:r w:rsidRPr="00254F1F">
        <w:rPr>
          <w:rFonts w:hint="eastAsia"/>
          <w:lang w:eastAsia="zh-CN"/>
        </w:rPr>
        <w:t>潜在</w:t>
      </w:r>
      <w:r>
        <w:rPr>
          <w:rFonts w:hint="eastAsia"/>
          <w:lang w:eastAsia="zh-CN"/>
        </w:rPr>
        <w:t>的投资者介绍此项目。该银行的贷款组合的质量是全哈萨克斯坦最好</w:t>
      </w:r>
      <w:r w:rsidRPr="00250625">
        <w:rPr>
          <w:rFonts w:hint="eastAsia"/>
          <w:lang w:eastAsia="zh-CN"/>
        </w:rPr>
        <w:t>之一</w:t>
      </w:r>
      <w:r>
        <w:rPr>
          <w:rFonts w:hint="eastAsia"/>
          <w:lang w:eastAsia="zh-CN"/>
        </w:rPr>
        <w:t>。它的</w:t>
      </w:r>
      <w:r w:rsidRPr="00A7793F">
        <w:rPr>
          <w:rFonts w:ascii="Arial" w:hAnsi="Arial" w:cs="Arial"/>
          <w:bCs/>
          <w:color w:val="222222"/>
          <w:szCs w:val="21"/>
          <w:shd w:val="clear" w:color="auto" w:fill="FFFFFF"/>
          <w:lang w:eastAsia="zh-CN"/>
        </w:rPr>
        <w:t>信用评级</w:t>
      </w:r>
      <w:r>
        <w:rPr>
          <w:rFonts w:ascii="Arial" w:hAnsi="Arial" w:cs="Arial"/>
          <w:bCs/>
          <w:color w:val="222222"/>
          <w:szCs w:val="21"/>
          <w:shd w:val="clear" w:color="auto" w:fill="FFFFFF"/>
          <w:lang w:eastAsia="zh-CN"/>
        </w:rPr>
        <w:t>为</w:t>
      </w:r>
      <w:r>
        <w:rPr>
          <w:rFonts w:ascii="Arial" w:hAnsi="Arial" w:cs="Arial" w:hint="eastAsia"/>
          <w:bCs/>
          <w:color w:val="222222"/>
          <w:szCs w:val="21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bCs/>
          <w:color w:val="222222"/>
          <w:szCs w:val="21"/>
          <w:shd w:val="clear" w:color="auto" w:fill="FFFFFF"/>
          <w:lang w:eastAsia="zh-CN"/>
        </w:rPr>
        <w:t>B+</w:t>
      </w:r>
      <w:r>
        <w:rPr>
          <w:rFonts w:ascii="Arial" w:hAnsi="Arial" w:cs="Arial" w:hint="eastAsia"/>
          <w:bCs/>
          <w:color w:val="222222"/>
          <w:szCs w:val="21"/>
          <w:shd w:val="clear" w:color="auto" w:fill="FFFFFF"/>
          <w:lang w:eastAsia="zh-CN"/>
        </w:rPr>
        <w:t>（国际标准）。</w:t>
      </w:r>
      <w:r w:rsidRPr="002A3F0E">
        <w:rPr>
          <w:rFonts w:ascii="Arial" w:hAnsi="Arial" w:cs="Arial" w:hint="eastAsia"/>
          <w:bCs/>
          <w:color w:val="222222"/>
          <w:szCs w:val="21"/>
          <w:shd w:val="clear" w:color="auto" w:fill="FFFFFF"/>
          <w:lang w:eastAsia="zh-CN"/>
        </w:rPr>
        <w:t>财务报告</w:t>
      </w:r>
      <w:r>
        <w:rPr>
          <w:rFonts w:ascii="Arial" w:hAnsi="Arial" w:cs="Arial" w:hint="eastAsia"/>
          <w:bCs/>
          <w:color w:val="222222"/>
          <w:szCs w:val="21"/>
          <w:shd w:val="clear" w:color="auto" w:fill="FFFFFF"/>
          <w:lang w:eastAsia="zh-CN"/>
        </w:rPr>
        <w:t>每年在互联网和哈萨克斯坦共和国的主要媒体上公布并</w:t>
      </w:r>
      <w:r w:rsidRPr="00791FD3">
        <w:rPr>
          <w:rFonts w:ascii="Arial" w:hAnsi="Arial" w:cs="Arial" w:hint="eastAsia"/>
          <w:bCs/>
          <w:color w:val="222222"/>
          <w:szCs w:val="21"/>
          <w:shd w:val="clear" w:color="auto" w:fill="FFFFFF"/>
          <w:lang w:eastAsia="zh-CN"/>
        </w:rPr>
        <w:t>由国际审计公司以及哈萨克斯坦国家银行进行检查。</w:t>
      </w:r>
    </w:p>
    <w:p w:rsidR="00802425" w:rsidRDefault="00802425" w:rsidP="00802425">
      <w:pPr>
        <w:rPr>
          <w:rFonts w:ascii="Arial" w:hAnsi="Arial" w:cs="Arial"/>
          <w:bCs/>
          <w:color w:val="222222"/>
          <w:szCs w:val="21"/>
          <w:shd w:val="clear" w:color="auto" w:fill="FFFFFF"/>
          <w:lang w:eastAsia="zh-CN"/>
        </w:rPr>
      </w:pPr>
    </w:p>
    <w:p w:rsidR="00CE12BD" w:rsidRDefault="00CE12BD" w:rsidP="00802425">
      <w:pPr>
        <w:rPr>
          <w:szCs w:val="21"/>
          <w:lang w:val="ru-RU" w:eastAsia="zh-CN"/>
        </w:rPr>
      </w:pPr>
    </w:p>
    <w:p w:rsidR="00CE12BD" w:rsidRDefault="00CE12BD" w:rsidP="00802425">
      <w:pPr>
        <w:rPr>
          <w:szCs w:val="21"/>
          <w:lang w:val="ru-RU" w:eastAsia="zh-CN"/>
        </w:rPr>
      </w:pPr>
    </w:p>
    <w:p w:rsidR="00CE12BD" w:rsidRDefault="00CE12BD" w:rsidP="00802425">
      <w:pPr>
        <w:rPr>
          <w:szCs w:val="21"/>
          <w:lang w:val="ru-RU" w:eastAsia="zh-CN"/>
        </w:rPr>
      </w:pPr>
    </w:p>
    <w:p w:rsidR="00CE12BD" w:rsidRDefault="00CE12BD" w:rsidP="00802425">
      <w:pPr>
        <w:rPr>
          <w:szCs w:val="21"/>
          <w:lang w:val="ru-RU" w:eastAsia="zh-CN"/>
        </w:rPr>
      </w:pPr>
    </w:p>
    <w:p w:rsidR="00CE12BD" w:rsidRDefault="00CE12BD" w:rsidP="00802425">
      <w:pPr>
        <w:rPr>
          <w:szCs w:val="21"/>
          <w:lang w:val="ru-RU" w:eastAsia="zh-CN"/>
        </w:rPr>
      </w:pPr>
    </w:p>
    <w:p w:rsidR="00CE12BD" w:rsidRDefault="00CE12BD" w:rsidP="00802425">
      <w:pPr>
        <w:rPr>
          <w:szCs w:val="21"/>
          <w:lang w:val="ru-RU" w:eastAsia="zh-CN"/>
        </w:rPr>
      </w:pPr>
    </w:p>
    <w:p w:rsidR="00CE12BD" w:rsidRDefault="00CE12BD" w:rsidP="00802425">
      <w:pPr>
        <w:rPr>
          <w:szCs w:val="21"/>
          <w:lang w:val="ru-RU" w:eastAsia="zh-CN"/>
        </w:rPr>
      </w:pPr>
    </w:p>
    <w:p w:rsidR="00CE12BD" w:rsidRDefault="00CE12BD" w:rsidP="00802425">
      <w:pPr>
        <w:rPr>
          <w:szCs w:val="21"/>
          <w:lang w:val="ru-RU" w:eastAsia="zh-CN"/>
        </w:rPr>
      </w:pPr>
    </w:p>
    <w:p w:rsidR="00802425" w:rsidRDefault="00802425" w:rsidP="00802425">
      <w:pPr>
        <w:rPr>
          <w:szCs w:val="21"/>
          <w:lang w:val="ru-RU" w:eastAsia="zh-CN"/>
        </w:rPr>
      </w:pPr>
      <w:r>
        <w:rPr>
          <w:rFonts w:hint="eastAsia"/>
          <w:szCs w:val="21"/>
          <w:lang w:val="ru-RU" w:eastAsia="zh-CN"/>
        </w:rPr>
        <w:t>我们</w:t>
      </w:r>
      <w:r w:rsidR="00CE12BD">
        <w:rPr>
          <w:rFonts w:hint="eastAsia"/>
          <w:szCs w:val="21"/>
          <w:lang w:val="ru-RU" w:eastAsia="zh-CN"/>
        </w:rPr>
        <w:t>尊敬的</w:t>
      </w:r>
      <w:r>
        <w:rPr>
          <w:rFonts w:hint="eastAsia"/>
          <w:szCs w:val="21"/>
          <w:lang w:val="ru-RU" w:eastAsia="zh-CN"/>
        </w:rPr>
        <w:t>中国伙伴们，如果你们</w:t>
      </w:r>
      <w:r w:rsidRPr="000A1866">
        <w:rPr>
          <w:rFonts w:hint="eastAsia"/>
          <w:szCs w:val="21"/>
          <w:lang w:val="ru-RU" w:eastAsia="zh-CN"/>
        </w:rPr>
        <w:t>找到</w:t>
      </w:r>
      <w:r>
        <w:rPr>
          <w:rFonts w:hint="eastAsia"/>
          <w:szCs w:val="21"/>
          <w:lang w:val="ru-RU" w:eastAsia="zh-CN"/>
        </w:rPr>
        <w:t>了潜在的</w:t>
      </w:r>
      <w:r w:rsidRPr="000A1866">
        <w:rPr>
          <w:rFonts w:hint="eastAsia"/>
          <w:szCs w:val="21"/>
          <w:lang w:val="ru-RU" w:eastAsia="zh-CN"/>
        </w:rPr>
        <w:t>投资者，请在</w:t>
      </w:r>
      <w:r w:rsidRPr="000A1866">
        <w:rPr>
          <w:rFonts w:hint="eastAsia"/>
          <w:szCs w:val="21"/>
          <w:lang w:val="ru-RU" w:eastAsia="zh-CN"/>
        </w:rPr>
        <w:t>2018</w:t>
      </w:r>
      <w:r w:rsidRPr="000A1866">
        <w:rPr>
          <w:rFonts w:hint="eastAsia"/>
          <w:szCs w:val="21"/>
          <w:lang w:val="ru-RU" w:eastAsia="zh-CN"/>
        </w:rPr>
        <w:t>年</w:t>
      </w:r>
      <w:r w:rsidRPr="000A1866">
        <w:rPr>
          <w:rFonts w:hint="eastAsia"/>
          <w:szCs w:val="21"/>
          <w:lang w:val="ru-RU" w:eastAsia="zh-CN"/>
        </w:rPr>
        <w:t>9</w:t>
      </w:r>
      <w:r w:rsidRPr="000A1866">
        <w:rPr>
          <w:rFonts w:hint="eastAsia"/>
          <w:szCs w:val="21"/>
          <w:lang w:val="ru-RU" w:eastAsia="zh-CN"/>
        </w:rPr>
        <w:t>月</w:t>
      </w:r>
      <w:r w:rsidRPr="000A1866">
        <w:rPr>
          <w:rFonts w:hint="eastAsia"/>
          <w:szCs w:val="21"/>
          <w:lang w:val="ru-RU" w:eastAsia="zh-CN"/>
        </w:rPr>
        <w:t>7</w:t>
      </w:r>
      <w:r w:rsidRPr="000A1866">
        <w:rPr>
          <w:rFonts w:hint="eastAsia"/>
          <w:szCs w:val="21"/>
          <w:lang w:val="ru-RU" w:eastAsia="zh-CN"/>
        </w:rPr>
        <w:t>日之前通知我们</w:t>
      </w:r>
      <w:r>
        <w:rPr>
          <w:rFonts w:hint="eastAsia"/>
          <w:szCs w:val="21"/>
          <w:lang w:val="ru-RU" w:eastAsia="zh-CN"/>
        </w:rPr>
        <w:t>。</w:t>
      </w:r>
    </w:p>
    <w:p w:rsidR="00802425" w:rsidRDefault="00802425" w:rsidP="00802425">
      <w:pPr>
        <w:rPr>
          <w:szCs w:val="21"/>
          <w:lang w:val="ru-RU" w:eastAsia="zh-CN"/>
        </w:rPr>
      </w:pPr>
    </w:p>
    <w:p w:rsidR="00802425" w:rsidRPr="000F20BA" w:rsidRDefault="00802425" w:rsidP="00802425">
      <w:pPr>
        <w:rPr>
          <w:i/>
          <w:szCs w:val="21"/>
          <w:lang w:val="ru-RU" w:eastAsia="zh-CN"/>
        </w:rPr>
      </w:pPr>
      <w:r w:rsidRPr="000F20BA">
        <w:rPr>
          <w:rFonts w:hint="eastAsia"/>
          <w:i/>
          <w:szCs w:val="21"/>
          <w:lang w:val="ru-RU" w:eastAsia="zh-CN"/>
        </w:rPr>
        <w:t>这项目除外，哈萨克人民商会推荐另两个银行的投资项目。</w:t>
      </w:r>
      <w:r w:rsidRPr="000F20BA">
        <w:rPr>
          <w:rFonts w:hint="eastAsia"/>
          <w:i/>
          <w:szCs w:val="21"/>
          <w:lang w:eastAsia="zh-CN"/>
        </w:rPr>
        <w:t>它</w:t>
      </w:r>
      <w:r w:rsidRPr="000F20BA">
        <w:rPr>
          <w:rFonts w:hint="eastAsia"/>
          <w:i/>
          <w:szCs w:val="21"/>
          <w:lang w:val="ru-RU" w:eastAsia="zh-CN"/>
        </w:rPr>
        <w:t>们可以替代以上的投资项目。我们可以安排投资者与这两个银行的所有人的见面。</w:t>
      </w:r>
    </w:p>
    <w:p w:rsidR="00802425" w:rsidRPr="004224A7" w:rsidRDefault="00802425" w:rsidP="00802425">
      <w:pPr>
        <w:rPr>
          <w:lang w:val="ru-RU" w:eastAsia="zh-CN"/>
        </w:rPr>
      </w:pPr>
    </w:p>
    <w:p w:rsidR="00550B13" w:rsidRPr="00802425" w:rsidRDefault="00550B13" w:rsidP="00802425">
      <w:pPr>
        <w:rPr>
          <w:lang w:val="ru-RU" w:eastAsia="zh-CN"/>
        </w:rPr>
      </w:pPr>
    </w:p>
    <w:sectPr w:rsidR="00550B13" w:rsidRPr="00802425" w:rsidSect="00CE12BD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EE" w:rsidRDefault="00432CEE">
      <w:r>
        <w:separator/>
      </w:r>
    </w:p>
  </w:endnote>
  <w:endnote w:type="continuationSeparator" w:id="0">
    <w:p w:rsidR="00432CEE" w:rsidRDefault="0043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D6" w:rsidRDefault="00AB40D6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-601980</wp:posOffset>
          </wp:positionV>
          <wp:extent cx="7677150" cy="1333500"/>
          <wp:effectExtent l="0" t="0" r="0" b="0"/>
          <wp:wrapTight wrapText="bothSides">
            <wp:wrapPolygon edited="0">
              <wp:start x="0" y="0"/>
              <wp:lineTo x="0" y="21291"/>
              <wp:lineTo x="21546" y="21291"/>
              <wp:lineTo x="215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EE" w:rsidRDefault="00432CEE">
      <w:r>
        <w:separator/>
      </w:r>
    </w:p>
  </w:footnote>
  <w:footnote w:type="continuationSeparator" w:id="0">
    <w:p w:rsidR="00432CEE" w:rsidRDefault="0043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A6" w:rsidRDefault="006856A6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-879475</wp:posOffset>
          </wp:positionH>
          <wp:positionV relativeFrom="paragraph">
            <wp:posOffset>-316865</wp:posOffset>
          </wp:positionV>
          <wp:extent cx="7891780" cy="1990725"/>
          <wp:effectExtent l="0" t="0" r="0" b="9525"/>
          <wp:wrapTight wrapText="bothSides">
            <wp:wrapPolygon edited="0">
              <wp:start x="0" y="0"/>
              <wp:lineTo x="0" y="21497"/>
              <wp:lineTo x="21534" y="21497"/>
              <wp:lineTo x="2153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780" cy="199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5420C"/>
    <w:multiLevelType w:val="hybridMultilevel"/>
    <w:tmpl w:val="2F260C2A"/>
    <w:lvl w:ilvl="0" w:tplc="94109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AF3B30"/>
    <w:multiLevelType w:val="hybridMultilevel"/>
    <w:tmpl w:val="FBB4F280"/>
    <w:lvl w:ilvl="0" w:tplc="9A22A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C1413C"/>
    <w:multiLevelType w:val="hybridMultilevel"/>
    <w:tmpl w:val="334098E4"/>
    <w:lvl w:ilvl="0" w:tplc="1E945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BC3E4D"/>
    <w:multiLevelType w:val="hybridMultilevel"/>
    <w:tmpl w:val="F8E05822"/>
    <w:lvl w:ilvl="0" w:tplc="57082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B4132D"/>
    <w:multiLevelType w:val="hybridMultilevel"/>
    <w:tmpl w:val="BB6EE680"/>
    <w:lvl w:ilvl="0" w:tplc="044C4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7A"/>
    <w:rsid w:val="00417F2F"/>
    <w:rsid w:val="00432CEE"/>
    <w:rsid w:val="005413F1"/>
    <w:rsid w:val="00550B13"/>
    <w:rsid w:val="00581BA3"/>
    <w:rsid w:val="006856A6"/>
    <w:rsid w:val="0069337A"/>
    <w:rsid w:val="00802425"/>
    <w:rsid w:val="00807DB9"/>
    <w:rsid w:val="00940F7A"/>
    <w:rsid w:val="00AB40D6"/>
    <w:rsid w:val="00CB2CAC"/>
    <w:rsid w:val="00CE12BD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D65D88-5949-41E4-9D3C-03010E6C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413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SimSun" w:eastAsia="SimSun" w:hAnsi="SimSun" w:cs="SimSun"/>
      <w:b/>
      <w:bCs/>
      <w:kern w:val="36"/>
      <w:sz w:val="48"/>
      <w:szCs w:val="48"/>
      <w:bdr w:val="none" w:sz="0" w:space="0" w:color="auto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0">
    <w:name w:val="Текстовый блок A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5413F1"/>
    <w:rPr>
      <w:rFonts w:ascii="SimSun" w:eastAsia="SimSun" w:hAnsi="SimSun" w:cs="SimSun"/>
      <w:b/>
      <w:bCs/>
      <w:kern w:val="36"/>
      <w:sz w:val="48"/>
      <w:szCs w:val="48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6856A6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856A6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56A6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856A6"/>
    <w:rPr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81BA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bdr w:val="none" w:sz="0" w:space="0" w:color="auto"/>
      <w:lang w:eastAsia="zh-CN"/>
    </w:rPr>
  </w:style>
  <w:style w:type="character" w:styleId="Emphasis">
    <w:name w:val="Emphasis"/>
    <w:basedOn w:val="DefaultParagraphFont"/>
    <w:uiPriority w:val="20"/>
    <w:qFormat/>
    <w:rsid w:val="00581BA3"/>
    <w:rPr>
      <w:i/>
      <w:iCs/>
    </w:rPr>
  </w:style>
  <w:style w:type="table" w:styleId="TableGrid">
    <w:name w:val="Table Grid"/>
    <w:basedOn w:val="TableNormal"/>
    <w:rsid w:val="00417F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sz w:val="22"/>
      <w:szCs w:val="22"/>
      <w:bdr w:val="none" w:sz="0" w:space="0" w:color="auto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Astemir</dc:creator>
  <cp:lastModifiedBy>Yerken</cp:lastModifiedBy>
  <cp:revision>4</cp:revision>
  <dcterms:created xsi:type="dcterms:W3CDTF">2018-08-09T06:36:00Z</dcterms:created>
  <dcterms:modified xsi:type="dcterms:W3CDTF">2018-08-09T06:38:00Z</dcterms:modified>
</cp:coreProperties>
</file>